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900" w:rsidRPr="00974900" w:rsidRDefault="00974900" w:rsidP="00974900">
      <w:pPr>
        <w:pStyle w:val="Navadensplet"/>
        <w:jc w:val="center"/>
        <w:rPr>
          <w:rStyle w:val="Krepko"/>
          <w:rFonts w:ascii="Rubik" w:hAnsi="Rubik" w:cs="Arial"/>
          <w:b/>
          <w:color w:val="353837"/>
          <w:sz w:val="27"/>
          <w:szCs w:val="27"/>
          <w:lang w:val="en-GB"/>
        </w:rPr>
      </w:pPr>
      <w:r w:rsidRPr="00974900">
        <w:rPr>
          <w:rStyle w:val="Krepko"/>
          <w:rFonts w:ascii="Rubik" w:hAnsi="Rubik" w:cs="Arial"/>
          <w:b/>
          <w:color w:val="353837"/>
          <w:sz w:val="27"/>
          <w:szCs w:val="27"/>
          <w:lang w:val="en-GB"/>
        </w:rPr>
        <w:t>LOKALNA UČNA SREDIŠČA</w:t>
      </w:r>
    </w:p>
    <w:p w:rsidR="00974900" w:rsidRDefault="00974900" w:rsidP="005065F7">
      <w:pPr>
        <w:pStyle w:val="Navadensplet"/>
        <w:rPr>
          <w:rStyle w:val="Krepko"/>
          <w:rFonts w:ascii="Rubik" w:hAnsi="Rubik" w:cs="Arial"/>
          <w:color w:val="353837"/>
          <w:sz w:val="27"/>
          <w:szCs w:val="27"/>
          <w:lang w:val="en-GB"/>
        </w:rPr>
      </w:pPr>
    </w:p>
    <w:p w:rsidR="005065F7" w:rsidRPr="00974900" w:rsidRDefault="005065F7" w:rsidP="005065F7">
      <w:pPr>
        <w:pStyle w:val="Navadensplet"/>
        <w:rPr>
          <w:rFonts w:asciiTheme="majorHAnsi" w:hAnsiTheme="majorHAnsi" w:cs="Arial"/>
          <w:color w:val="353837"/>
          <w:lang w:val="en-GB"/>
        </w:rPr>
      </w:pPr>
      <w:proofErr w:type="spellStart"/>
      <w:r w:rsidRPr="00974900">
        <w:rPr>
          <w:rStyle w:val="Krepko"/>
          <w:rFonts w:asciiTheme="majorHAnsi" w:hAnsiTheme="majorHAnsi" w:cs="Arial"/>
          <w:color w:val="353837"/>
          <w:lang w:val="en-GB"/>
        </w:rPr>
        <w:t>Partnerji</w:t>
      </w:r>
      <w:proofErr w:type="spellEnd"/>
      <w:r w:rsidRPr="00974900">
        <w:rPr>
          <w:rStyle w:val="Krepko"/>
          <w:rFonts w:asciiTheme="majorHAnsi" w:hAnsiTheme="majorHAnsi" w:cs="Arial"/>
          <w:color w:val="353837"/>
          <w:lang w:val="en-GB"/>
        </w:rPr>
        <w:t xml:space="preserve"> v </w:t>
      </w:r>
      <w:proofErr w:type="spellStart"/>
      <w:r w:rsidRPr="00974900">
        <w:rPr>
          <w:rStyle w:val="Krepko"/>
          <w:rFonts w:asciiTheme="majorHAnsi" w:hAnsiTheme="majorHAnsi" w:cs="Arial"/>
          <w:color w:val="353837"/>
          <w:lang w:val="en-GB"/>
        </w:rPr>
        <w:t>projektu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: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Ljudska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univerza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Škofja Loka, Občina Gorenja vas –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Poljane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, Občina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Žiri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in Občina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Železniki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br/>
      </w:r>
      <w:proofErr w:type="spellStart"/>
      <w:r w:rsidRPr="00974900">
        <w:rPr>
          <w:rStyle w:val="Krepko"/>
          <w:rFonts w:asciiTheme="majorHAnsi" w:hAnsiTheme="majorHAnsi" w:cs="Arial"/>
          <w:color w:val="353837"/>
          <w:lang w:val="en-GB"/>
        </w:rPr>
        <w:t>Vrednost</w:t>
      </w:r>
      <w:proofErr w:type="spellEnd"/>
      <w:r w:rsidRPr="00974900">
        <w:rPr>
          <w:rStyle w:val="Krepko"/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Style w:val="Krepko"/>
          <w:rFonts w:asciiTheme="majorHAnsi" w:hAnsiTheme="majorHAnsi" w:cs="Arial"/>
          <w:color w:val="353837"/>
          <w:lang w:val="en-GB"/>
        </w:rPr>
        <w:t>celotnega</w:t>
      </w:r>
      <w:proofErr w:type="spellEnd"/>
      <w:r w:rsidRPr="00974900">
        <w:rPr>
          <w:rStyle w:val="Krepko"/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Style w:val="Krepko"/>
          <w:rFonts w:asciiTheme="majorHAnsi" w:hAnsiTheme="majorHAnsi" w:cs="Arial"/>
          <w:color w:val="353837"/>
          <w:lang w:val="en-GB"/>
        </w:rPr>
        <w:t>projekta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>: 89.186,36 €</w:t>
      </w:r>
      <w:r w:rsidRPr="00974900">
        <w:rPr>
          <w:rFonts w:asciiTheme="majorHAnsi" w:hAnsiTheme="majorHAnsi" w:cs="Arial"/>
          <w:color w:val="353837"/>
          <w:lang w:val="en-GB"/>
        </w:rPr>
        <w:br/>
      </w:r>
      <w:proofErr w:type="spellStart"/>
      <w:r w:rsidRPr="00974900">
        <w:rPr>
          <w:rStyle w:val="Krepko"/>
          <w:rFonts w:asciiTheme="majorHAnsi" w:hAnsiTheme="majorHAnsi" w:cs="Arial"/>
          <w:color w:val="353837"/>
          <w:lang w:val="en-GB"/>
        </w:rPr>
        <w:t>Sofinanciranje</w:t>
      </w:r>
      <w:proofErr w:type="spellEnd"/>
      <w:r w:rsidRPr="00974900">
        <w:rPr>
          <w:rStyle w:val="Krepko"/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Style w:val="Krepko"/>
          <w:rFonts w:asciiTheme="majorHAnsi" w:hAnsiTheme="majorHAnsi" w:cs="Arial"/>
          <w:color w:val="353837"/>
          <w:lang w:val="en-GB"/>
        </w:rPr>
        <w:t>iz</w:t>
      </w:r>
      <w:proofErr w:type="spellEnd"/>
      <w:r w:rsidRPr="00974900">
        <w:rPr>
          <w:rStyle w:val="Krepko"/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Style w:val="Krepko"/>
          <w:rFonts w:asciiTheme="majorHAnsi" w:hAnsiTheme="majorHAnsi" w:cs="Arial"/>
          <w:color w:val="353837"/>
          <w:lang w:val="en-GB"/>
        </w:rPr>
        <w:t>sredstev</w:t>
      </w:r>
      <w:proofErr w:type="spellEnd"/>
      <w:r w:rsidRPr="00974900">
        <w:rPr>
          <w:rStyle w:val="Krepko"/>
          <w:rFonts w:asciiTheme="majorHAnsi" w:hAnsiTheme="majorHAnsi" w:cs="Arial"/>
          <w:color w:val="353837"/>
          <w:lang w:val="en-GB"/>
        </w:rPr>
        <w:t xml:space="preserve"> CLLD</w:t>
      </w:r>
      <w:r w:rsidRPr="00974900">
        <w:rPr>
          <w:rFonts w:asciiTheme="majorHAnsi" w:hAnsiTheme="majorHAnsi" w:cs="Arial"/>
          <w:color w:val="353837"/>
          <w:lang w:val="en-GB"/>
        </w:rPr>
        <w:t>: 69.946,89 €</w:t>
      </w:r>
      <w:r w:rsidRPr="00974900">
        <w:rPr>
          <w:rFonts w:asciiTheme="majorHAnsi" w:hAnsiTheme="majorHAnsi" w:cs="Arial"/>
          <w:color w:val="353837"/>
          <w:lang w:val="en-GB"/>
        </w:rPr>
        <w:br/>
      </w:r>
      <w:proofErr w:type="spellStart"/>
      <w:r w:rsidRPr="00974900">
        <w:rPr>
          <w:rStyle w:val="Krepko"/>
          <w:rFonts w:asciiTheme="majorHAnsi" w:hAnsiTheme="majorHAnsi" w:cs="Arial"/>
          <w:color w:val="353837"/>
          <w:lang w:val="en-GB"/>
        </w:rPr>
        <w:t>Trajanje</w:t>
      </w:r>
      <w:proofErr w:type="spellEnd"/>
      <w:r w:rsidRPr="00974900">
        <w:rPr>
          <w:rStyle w:val="Krepko"/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Style w:val="Krepko"/>
          <w:rFonts w:asciiTheme="majorHAnsi" w:hAnsiTheme="majorHAnsi" w:cs="Arial"/>
          <w:color w:val="353837"/>
          <w:lang w:val="en-GB"/>
        </w:rPr>
        <w:t>projekta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: 15.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september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2017</w:t>
      </w:r>
      <w:r w:rsidR="002B2D76">
        <w:rPr>
          <w:rFonts w:asciiTheme="majorHAnsi" w:hAnsiTheme="majorHAnsi" w:cs="Arial"/>
          <w:color w:val="353837"/>
          <w:lang w:val="en-GB"/>
        </w:rPr>
        <w:t xml:space="preserve"> </w:t>
      </w:r>
      <w:r w:rsidRPr="00974900">
        <w:rPr>
          <w:rFonts w:asciiTheme="majorHAnsi" w:hAnsiTheme="majorHAnsi" w:cs="Arial"/>
          <w:color w:val="353837"/>
          <w:lang w:val="en-GB"/>
        </w:rPr>
        <w:t>–</w:t>
      </w:r>
      <w:r w:rsidR="002B2D76">
        <w:rPr>
          <w:rFonts w:asciiTheme="majorHAnsi" w:hAnsiTheme="majorHAnsi" w:cs="Arial"/>
          <w:color w:val="353837"/>
          <w:lang w:val="en-GB"/>
        </w:rPr>
        <w:t xml:space="preserve"> </w:t>
      </w:r>
      <w:r w:rsidRPr="00974900">
        <w:rPr>
          <w:rFonts w:asciiTheme="majorHAnsi" w:hAnsiTheme="majorHAnsi" w:cs="Arial"/>
          <w:color w:val="353837"/>
          <w:lang w:val="en-GB"/>
        </w:rPr>
        <w:t xml:space="preserve">30.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junij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2018</w:t>
      </w:r>
    </w:p>
    <w:p w:rsidR="005065F7" w:rsidRPr="00974900" w:rsidRDefault="005065F7" w:rsidP="005065F7">
      <w:pPr>
        <w:pStyle w:val="Navadensplet"/>
        <w:rPr>
          <w:rFonts w:asciiTheme="majorHAnsi" w:hAnsiTheme="majorHAnsi" w:cs="Arial"/>
          <w:color w:val="353837"/>
          <w:lang w:val="en-GB"/>
        </w:rPr>
      </w:pPr>
      <w:proofErr w:type="spellStart"/>
      <w:r w:rsidRPr="002B2D76">
        <w:rPr>
          <w:rStyle w:val="Krepko"/>
          <w:rFonts w:asciiTheme="majorHAnsi" w:hAnsiTheme="majorHAnsi" w:cs="Arial"/>
          <w:b/>
          <w:color w:val="353837"/>
          <w:lang w:val="en-GB"/>
        </w:rPr>
        <w:t>Cilj</w:t>
      </w:r>
      <w:proofErr w:type="spellEnd"/>
      <w:r w:rsidRPr="002B2D76">
        <w:rPr>
          <w:rStyle w:val="Krepko"/>
          <w:rFonts w:asciiTheme="majorHAnsi" w:hAnsiTheme="majorHAnsi" w:cs="Arial"/>
          <w:b/>
          <w:color w:val="353837"/>
          <w:lang w:val="en-GB"/>
        </w:rPr>
        <w:t xml:space="preserve"> </w:t>
      </w:r>
      <w:proofErr w:type="spellStart"/>
      <w:r w:rsidRPr="002B2D76">
        <w:rPr>
          <w:rStyle w:val="Krepko"/>
          <w:rFonts w:asciiTheme="majorHAnsi" w:hAnsiTheme="majorHAnsi" w:cs="Arial"/>
          <w:b/>
          <w:color w:val="353837"/>
          <w:lang w:val="en-GB"/>
        </w:rPr>
        <w:t>projekta</w:t>
      </w:r>
      <w:proofErr w:type="spellEnd"/>
      <w:r w:rsidRPr="002B2D76">
        <w:rPr>
          <w:rFonts w:asciiTheme="majorHAnsi" w:hAnsiTheme="majorHAnsi" w:cs="Arial"/>
          <w:b/>
          <w:color w:val="353837"/>
          <w:lang w:val="en-GB"/>
        </w:rPr>
        <w:t>:</w:t>
      </w:r>
      <w:r w:rsidRPr="002B2D76">
        <w:rPr>
          <w:rFonts w:asciiTheme="majorHAnsi" w:hAnsiTheme="majorHAnsi" w:cs="Arial"/>
          <w:b/>
          <w:color w:val="353837"/>
          <w:lang w:val="en-GB"/>
        </w:rPr>
        <w:br/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Cilj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projekta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je z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individualnim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svetovanjem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in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intenzivno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promocijo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povečati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ozaveščenost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o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pomembnosti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vseživljenjskega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učenja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ter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možnostih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izobraževanja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in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usposabljanja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. S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prostorsko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,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vsebinsko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in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časovno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prilagojeno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organizacijo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programov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vseživljenjskega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učenja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v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lokalnih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središčih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želimo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povečati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dostopnost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do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storitev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izobraževanja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in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usposabljanja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za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podeželsko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prebivalstvo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in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tako</w:t>
      </w:r>
      <w:bookmarkStart w:id="0" w:name="_GoBack"/>
      <w:bookmarkEnd w:id="0"/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povečati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število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vključenih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oseb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v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programe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. Z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večjo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vključenostjo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mladih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,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žensk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in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drugih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ranljivih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skupin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v VŽU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želimo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povečati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splošno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izobraženost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,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socialno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vključenost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in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zaposlitvene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možnosti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ljudi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s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podeželja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>.</w:t>
      </w:r>
    </w:p>
    <w:p w:rsidR="005065F7" w:rsidRPr="00974900" w:rsidRDefault="005065F7" w:rsidP="005065F7">
      <w:pPr>
        <w:pStyle w:val="Navadensplet"/>
        <w:rPr>
          <w:rFonts w:asciiTheme="majorHAnsi" w:hAnsiTheme="majorHAnsi" w:cs="Arial"/>
          <w:color w:val="353837"/>
          <w:lang w:val="en-GB"/>
        </w:rPr>
      </w:pPr>
      <w:proofErr w:type="spellStart"/>
      <w:r w:rsidRPr="002B2D76">
        <w:rPr>
          <w:rStyle w:val="Krepko"/>
          <w:rFonts w:asciiTheme="majorHAnsi" w:hAnsiTheme="majorHAnsi" w:cs="Arial"/>
          <w:b/>
          <w:color w:val="353837"/>
          <w:lang w:val="en-GB"/>
        </w:rPr>
        <w:t>Povzetek</w:t>
      </w:r>
      <w:proofErr w:type="spellEnd"/>
      <w:r w:rsidRPr="002B2D76">
        <w:rPr>
          <w:rStyle w:val="Krepko"/>
          <w:rFonts w:asciiTheme="majorHAnsi" w:hAnsiTheme="majorHAnsi" w:cs="Arial"/>
          <w:b/>
          <w:color w:val="353837"/>
          <w:lang w:val="en-GB"/>
        </w:rPr>
        <w:t>:</w:t>
      </w:r>
      <w:r w:rsidRPr="002B2D76">
        <w:rPr>
          <w:rFonts w:asciiTheme="majorHAnsi" w:hAnsiTheme="majorHAnsi" w:cs="Arial"/>
          <w:b/>
          <w:color w:val="353837"/>
          <w:lang w:val="en-GB"/>
        </w:rPr>
        <w:br/>
      </w:r>
      <w:r w:rsidRPr="00974900">
        <w:rPr>
          <w:rFonts w:asciiTheme="majorHAnsi" w:hAnsiTheme="majorHAnsi" w:cs="Arial"/>
          <w:color w:val="353837"/>
          <w:lang w:val="en-GB"/>
        </w:rPr>
        <w:t xml:space="preserve">Z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vzpostavitvijo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lokalnih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učnih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središč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v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treh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občinah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želimo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ustvariti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prostorske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in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materialne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pogoje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,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zagotoviti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predavatelje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,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predvsem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pa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prebivalcem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na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podeželju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približati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različne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oblike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vseživljenjskega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učenja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,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ki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bodo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prilagojena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njihovim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potrebam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>.</w:t>
      </w:r>
    </w:p>
    <w:p w:rsidR="005065F7" w:rsidRPr="00974900" w:rsidRDefault="005065F7" w:rsidP="005065F7">
      <w:pPr>
        <w:pStyle w:val="Navadensplet"/>
        <w:rPr>
          <w:rFonts w:asciiTheme="majorHAnsi" w:hAnsiTheme="majorHAnsi" w:cs="Arial"/>
          <w:color w:val="353837"/>
          <w:lang w:val="en-GB"/>
        </w:rPr>
      </w:pPr>
      <w:proofErr w:type="spellStart"/>
      <w:r w:rsidRPr="00974900">
        <w:rPr>
          <w:rFonts w:asciiTheme="majorHAnsi" w:hAnsiTheme="majorHAnsi" w:cs="Arial"/>
          <w:color w:val="353837"/>
          <w:lang w:val="en-GB"/>
        </w:rPr>
        <w:t>Ena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pomembnejših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dejavnosti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VŽU je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tudi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individualno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svetovanje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v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lokalnih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učnih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središčih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,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ki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omogočajo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aktivnejši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pristop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oz.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omogoča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, da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svetovalec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ljudi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poišče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v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njihovem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okolju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in ne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čaka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, da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pridejo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po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nasvet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.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Hkrati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svetovalec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zaradi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delovanja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v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lokalnem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okolju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bolje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pozna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osebne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in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družbene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okoliščine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ljudi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,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ki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jim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svetuje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,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kot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tudi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razmere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na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lokalnem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trgu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dela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in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potrebe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delodajalcev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. S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kombiniranim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pristopom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;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intenzivno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promocijo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in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individualnim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pristopom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,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želimo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povečati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ozaveščenost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občanov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o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možnostih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in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pomembnosti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VŽU. Na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podlagi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ugotovljenih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potreb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svetovancev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v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lokalnem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okolju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so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programi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v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lokalnih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učnih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središčih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organizirani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v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petih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sklopih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>:</w:t>
      </w:r>
      <w:r w:rsidRPr="00974900">
        <w:rPr>
          <w:rFonts w:asciiTheme="majorHAnsi" w:hAnsiTheme="majorHAnsi" w:cs="Arial"/>
          <w:color w:val="353837"/>
          <w:lang w:val="en-GB"/>
        </w:rPr>
        <w:br/>
        <w:t xml:space="preserve">–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digitalna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pismenost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>,</w:t>
      </w:r>
      <w:r w:rsidRPr="00974900">
        <w:rPr>
          <w:rFonts w:asciiTheme="majorHAnsi" w:hAnsiTheme="majorHAnsi" w:cs="Arial"/>
          <w:color w:val="353837"/>
          <w:lang w:val="en-GB"/>
        </w:rPr>
        <w:br/>
        <w:t xml:space="preserve">–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skrb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za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starost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in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varovanje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zdravja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>,</w:t>
      </w:r>
      <w:r w:rsidRPr="00974900">
        <w:rPr>
          <w:rFonts w:asciiTheme="majorHAnsi" w:hAnsiTheme="majorHAnsi" w:cs="Arial"/>
          <w:color w:val="353837"/>
          <w:lang w:val="en-GB"/>
        </w:rPr>
        <w:br/>
        <w:t xml:space="preserve">– na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lovu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za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kompetencami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>,</w:t>
      </w:r>
      <w:r w:rsidRPr="00974900">
        <w:rPr>
          <w:rFonts w:asciiTheme="majorHAnsi" w:hAnsiTheme="majorHAnsi" w:cs="Arial"/>
          <w:color w:val="353837"/>
          <w:lang w:val="en-GB"/>
        </w:rPr>
        <w:br/>
        <w:t xml:space="preserve">–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izkoristimo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svoj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prosti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čas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za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osebnostno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rast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in</w:t>
      </w:r>
      <w:r w:rsidRPr="00974900">
        <w:rPr>
          <w:rFonts w:asciiTheme="majorHAnsi" w:hAnsiTheme="majorHAnsi" w:cs="Arial"/>
          <w:color w:val="353837"/>
          <w:lang w:val="en-GB"/>
        </w:rPr>
        <w:br/>
        <w:t xml:space="preserve">–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svetovanje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>.</w:t>
      </w:r>
    </w:p>
    <w:p w:rsidR="005065F7" w:rsidRPr="00974900" w:rsidRDefault="005065F7" w:rsidP="005065F7">
      <w:pPr>
        <w:pStyle w:val="Navadensplet"/>
        <w:rPr>
          <w:rFonts w:asciiTheme="majorHAnsi" w:hAnsiTheme="majorHAnsi" w:cs="Arial"/>
          <w:color w:val="353837"/>
          <w:lang w:val="en-GB"/>
        </w:rPr>
      </w:pPr>
      <w:proofErr w:type="spellStart"/>
      <w:r w:rsidRPr="00974900">
        <w:rPr>
          <w:rStyle w:val="Krepko"/>
          <w:rFonts w:asciiTheme="majorHAnsi" w:hAnsiTheme="majorHAnsi" w:cs="Arial"/>
          <w:b/>
          <w:color w:val="353837"/>
          <w:lang w:val="en-GB"/>
        </w:rPr>
        <w:t>Aktivnosti</w:t>
      </w:r>
      <w:proofErr w:type="spellEnd"/>
      <w:r w:rsidRPr="00974900">
        <w:rPr>
          <w:rStyle w:val="Krepko"/>
          <w:rFonts w:asciiTheme="majorHAnsi" w:hAnsiTheme="majorHAnsi" w:cs="Arial"/>
          <w:b/>
          <w:color w:val="353837"/>
          <w:lang w:val="en-GB"/>
        </w:rPr>
        <w:t>:</w:t>
      </w:r>
      <w:r w:rsidRPr="00974900">
        <w:rPr>
          <w:rFonts w:asciiTheme="majorHAnsi" w:hAnsiTheme="majorHAnsi" w:cs="Arial"/>
          <w:b/>
          <w:color w:val="353837"/>
          <w:lang w:val="en-GB"/>
        </w:rPr>
        <w:br/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Faza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1: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traja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od 15.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septembra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2017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do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14.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aprila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2018:</w:t>
      </w:r>
      <w:r w:rsidRPr="00974900">
        <w:rPr>
          <w:rFonts w:asciiTheme="majorHAnsi" w:hAnsiTheme="majorHAnsi" w:cs="Arial"/>
          <w:color w:val="353837"/>
          <w:lang w:val="en-GB"/>
        </w:rPr>
        <w:br/>
        <w:t xml:space="preserve">–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promocija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in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osveščanje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javnosti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o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operaciji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>;</w:t>
      </w:r>
      <w:r w:rsidRPr="00974900">
        <w:rPr>
          <w:rFonts w:asciiTheme="majorHAnsi" w:hAnsiTheme="majorHAnsi" w:cs="Arial"/>
          <w:color w:val="353837"/>
          <w:lang w:val="en-GB"/>
        </w:rPr>
        <w:br/>
        <w:t xml:space="preserve">–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ureditev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treh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lokalnih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učnih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središč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v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občinah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Gorenja vas –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Poljane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,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Žiri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in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Železniki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>;</w:t>
      </w:r>
      <w:r w:rsidRPr="00974900">
        <w:rPr>
          <w:rFonts w:asciiTheme="majorHAnsi" w:hAnsiTheme="majorHAnsi" w:cs="Arial"/>
          <w:color w:val="353837"/>
          <w:lang w:val="en-GB"/>
        </w:rPr>
        <w:br/>
        <w:t xml:space="preserve">–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ugotavljanje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in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analiza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potreb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po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vsebinskih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oziroma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znanjih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vseživljenjskega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učenja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>;</w:t>
      </w:r>
      <w:r w:rsidRPr="00974900">
        <w:rPr>
          <w:rFonts w:asciiTheme="majorHAnsi" w:hAnsiTheme="majorHAnsi" w:cs="Arial"/>
          <w:color w:val="353837"/>
          <w:lang w:val="en-GB"/>
        </w:rPr>
        <w:br/>
        <w:t xml:space="preserve">–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načrtovanje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in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priprava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programov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vseživljenjskega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učenja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>;</w:t>
      </w:r>
      <w:r w:rsidRPr="00974900">
        <w:rPr>
          <w:rFonts w:asciiTheme="majorHAnsi" w:hAnsiTheme="majorHAnsi" w:cs="Arial"/>
          <w:color w:val="353837"/>
          <w:lang w:val="en-GB"/>
        </w:rPr>
        <w:br/>
        <w:t xml:space="preserve">–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promocija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programov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vseživljenjskega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učenja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>;</w:t>
      </w:r>
      <w:r w:rsidRPr="00974900">
        <w:rPr>
          <w:rFonts w:asciiTheme="majorHAnsi" w:hAnsiTheme="majorHAnsi" w:cs="Arial"/>
          <w:color w:val="353837"/>
          <w:lang w:val="en-GB"/>
        </w:rPr>
        <w:br/>
        <w:t xml:space="preserve">–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individualno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svetovanje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za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izobraževanje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odraslih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>;</w:t>
      </w:r>
      <w:r w:rsidRPr="00974900">
        <w:rPr>
          <w:rFonts w:asciiTheme="majorHAnsi" w:hAnsiTheme="majorHAnsi" w:cs="Arial"/>
          <w:color w:val="353837"/>
          <w:lang w:val="en-GB"/>
        </w:rPr>
        <w:br/>
        <w:t xml:space="preserve">–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organizacija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in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izvedba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programov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vseživljenjskega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učenja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>.</w:t>
      </w:r>
      <w:r w:rsidRPr="00974900">
        <w:rPr>
          <w:rFonts w:asciiTheme="majorHAnsi" w:hAnsiTheme="majorHAnsi" w:cs="Arial"/>
          <w:color w:val="353837"/>
          <w:lang w:val="en-GB"/>
        </w:rPr>
        <w:br/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Faza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2: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traja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od 1.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decembra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2017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do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30.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junija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2018:</w:t>
      </w:r>
      <w:r w:rsidRPr="00974900">
        <w:rPr>
          <w:rFonts w:asciiTheme="majorHAnsi" w:hAnsiTheme="majorHAnsi" w:cs="Arial"/>
          <w:color w:val="353837"/>
          <w:lang w:val="en-GB"/>
        </w:rPr>
        <w:br/>
      </w:r>
      <w:r w:rsidRPr="00974900">
        <w:rPr>
          <w:rFonts w:asciiTheme="majorHAnsi" w:hAnsiTheme="majorHAnsi" w:cs="Arial"/>
          <w:color w:val="353837"/>
          <w:lang w:val="en-GB"/>
        </w:rPr>
        <w:lastRenderedPageBreak/>
        <w:t xml:space="preserve">–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promocija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in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osveščanje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javnosti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o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operaciji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>;</w:t>
      </w:r>
      <w:r w:rsidRPr="00974900">
        <w:rPr>
          <w:rFonts w:asciiTheme="majorHAnsi" w:hAnsiTheme="majorHAnsi" w:cs="Arial"/>
          <w:color w:val="353837"/>
          <w:lang w:val="en-GB"/>
        </w:rPr>
        <w:br/>
        <w:t xml:space="preserve">–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priprava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programov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vseživljenjskega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učenja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,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predstavitev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in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usklajevanje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vsebin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s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partnerji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>;</w:t>
      </w:r>
      <w:r w:rsidRPr="00974900">
        <w:rPr>
          <w:rFonts w:asciiTheme="majorHAnsi" w:hAnsiTheme="majorHAnsi" w:cs="Arial"/>
          <w:color w:val="353837"/>
          <w:lang w:val="en-GB"/>
        </w:rPr>
        <w:br/>
        <w:t xml:space="preserve">–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promocija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programov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vseživljenjskega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učenja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prilagojena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posameznim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Lokalnim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učnim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središčem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>;</w:t>
      </w:r>
      <w:r w:rsidRPr="00974900">
        <w:rPr>
          <w:rFonts w:asciiTheme="majorHAnsi" w:hAnsiTheme="majorHAnsi" w:cs="Arial"/>
          <w:color w:val="353837"/>
          <w:lang w:val="en-GB"/>
        </w:rPr>
        <w:br/>
        <w:t xml:space="preserve">–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individualno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svetovanje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za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izobraževanje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odraslih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>;</w:t>
      </w:r>
      <w:r w:rsidRPr="00974900">
        <w:rPr>
          <w:rFonts w:asciiTheme="majorHAnsi" w:hAnsiTheme="majorHAnsi" w:cs="Arial"/>
          <w:color w:val="353837"/>
          <w:lang w:val="en-GB"/>
        </w:rPr>
        <w:br/>
        <w:t xml:space="preserve">–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organizacija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in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izvedba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vseživljenjskega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učenja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>.</w:t>
      </w:r>
    </w:p>
    <w:p w:rsidR="005065F7" w:rsidRPr="00974900" w:rsidRDefault="005065F7" w:rsidP="005065F7">
      <w:pPr>
        <w:pStyle w:val="Navadensplet"/>
        <w:rPr>
          <w:rFonts w:asciiTheme="majorHAnsi" w:hAnsiTheme="majorHAnsi" w:cs="Arial"/>
          <w:color w:val="353837"/>
          <w:lang w:val="en-GB"/>
        </w:rPr>
      </w:pPr>
      <w:proofErr w:type="spellStart"/>
      <w:r w:rsidRPr="00974900">
        <w:rPr>
          <w:rStyle w:val="Krepko"/>
          <w:rFonts w:asciiTheme="majorHAnsi" w:hAnsiTheme="majorHAnsi" w:cs="Arial"/>
          <w:b/>
          <w:color w:val="353837"/>
          <w:lang w:val="en-GB"/>
        </w:rPr>
        <w:t>Rezultati</w:t>
      </w:r>
      <w:proofErr w:type="spellEnd"/>
      <w:r w:rsidRPr="00974900">
        <w:rPr>
          <w:rStyle w:val="Krepko"/>
          <w:rFonts w:asciiTheme="majorHAnsi" w:hAnsiTheme="majorHAnsi" w:cs="Arial"/>
          <w:b/>
          <w:color w:val="353837"/>
          <w:lang w:val="en-GB"/>
        </w:rPr>
        <w:t>:</w:t>
      </w:r>
      <w:r w:rsidRPr="00974900">
        <w:rPr>
          <w:rFonts w:asciiTheme="majorHAnsi" w:hAnsiTheme="majorHAnsi" w:cs="Arial"/>
          <w:b/>
          <w:color w:val="353837"/>
          <w:lang w:val="en-GB"/>
        </w:rPr>
        <w:br/>
      </w:r>
      <w:r w:rsidRPr="00974900">
        <w:rPr>
          <w:rFonts w:asciiTheme="majorHAnsi" w:hAnsiTheme="majorHAnsi" w:cs="Arial"/>
          <w:color w:val="353837"/>
          <w:lang w:val="en-GB"/>
        </w:rPr>
        <w:t xml:space="preserve">– V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občinah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Gorenja vas –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Poljane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,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Žiri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in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Železniki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bodo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lokalna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učna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središča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–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trije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namensko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opremljeni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prostori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za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izvajanje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programov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VŽU in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svetovanja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>.</w:t>
      </w:r>
      <w:r w:rsidRPr="00974900">
        <w:rPr>
          <w:rFonts w:asciiTheme="majorHAnsi" w:hAnsiTheme="majorHAnsi" w:cs="Arial"/>
          <w:color w:val="353837"/>
          <w:lang w:val="en-GB"/>
        </w:rPr>
        <w:br/>
        <w:t xml:space="preserve">– V LUS Gorenja vas –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Poljane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: 70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ur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programov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VŽU,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vključenih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40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udeležencev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in 9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svetovanj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>.</w:t>
      </w:r>
      <w:r w:rsidRPr="00974900">
        <w:rPr>
          <w:rFonts w:asciiTheme="majorHAnsi" w:hAnsiTheme="majorHAnsi" w:cs="Arial"/>
          <w:color w:val="353837"/>
          <w:lang w:val="en-GB"/>
        </w:rPr>
        <w:br/>
        <w:t xml:space="preserve">– V LUS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Žiri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: 80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ur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programov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VŽU,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vključenih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30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udeležencev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in 10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svetovanj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>.</w:t>
      </w:r>
      <w:r w:rsidRPr="00974900">
        <w:rPr>
          <w:rFonts w:asciiTheme="majorHAnsi" w:hAnsiTheme="majorHAnsi" w:cs="Arial"/>
          <w:color w:val="353837"/>
          <w:lang w:val="en-GB"/>
        </w:rPr>
        <w:br/>
        <w:t xml:space="preserve">– V LUS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Železniki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: 80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ur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programov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VŽU,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vključenih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40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udeležencev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in 11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svetovanj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>.</w:t>
      </w:r>
      <w:r w:rsidRPr="00974900">
        <w:rPr>
          <w:rFonts w:asciiTheme="majorHAnsi" w:hAnsiTheme="majorHAnsi" w:cs="Arial"/>
          <w:color w:val="353837"/>
          <w:lang w:val="en-GB"/>
        </w:rPr>
        <w:br/>
        <w:t xml:space="preserve">–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Večja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ozaveščenost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občanov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treh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občin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o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pomembnosti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VŽU in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možnostih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izobraževanja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in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usposabljanja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>.</w:t>
      </w:r>
    </w:p>
    <w:p w:rsidR="005065F7" w:rsidRPr="00974900" w:rsidRDefault="005065F7" w:rsidP="005065F7">
      <w:pPr>
        <w:pStyle w:val="Navadensplet"/>
        <w:rPr>
          <w:rFonts w:asciiTheme="majorHAnsi" w:hAnsiTheme="majorHAnsi" w:cs="Arial"/>
          <w:color w:val="353837"/>
          <w:lang w:val="en-GB"/>
        </w:rPr>
      </w:pPr>
      <w:proofErr w:type="spellStart"/>
      <w:r w:rsidRPr="00974900">
        <w:rPr>
          <w:rFonts w:asciiTheme="majorHAnsi" w:hAnsiTheme="majorHAnsi" w:cs="Arial"/>
          <w:color w:val="353837"/>
          <w:lang w:val="en-GB"/>
        </w:rPr>
        <w:t>Projekt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sofinancira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Evropska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unija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iz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fldChar w:fldCharType="begin"/>
      </w:r>
      <w:r w:rsidRPr="00974900">
        <w:rPr>
          <w:rFonts w:asciiTheme="majorHAnsi" w:hAnsiTheme="majorHAnsi" w:cs="Arial"/>
          <w:color w:val="353837"/>
          <w:lang w:val="en-GB"/>
        </w:rPr>
        <w:instrText xml:space="preserve"> HYPERLINK "https://ec.europa.eu/agriculture/rural-development-2014-2020_sl" \t "_blank" </w:instrText>
      </w:r>
      <w:r w:rsidRPr="00974900">
        <w:rPr>
          <w:rFonts w:asciiTheme="majorHAnsi" w:hAnsiTheme="majorHAnsi" w:cs="Arial"/>
          <w:color w:val="353837"/>
          <w:lang w:val="en-GB"/>
        </w:rPr>
        <w:fldChar w:fldCharType="separate"/>
      </w:r>
      <w:r w:rsidRPr="00974900">
        <w:rPr>
          <w:rStyle w:val="Hiperpovezava"/>
          <w:rFonts w:asciiTheme="majorHAnsi" w:hAnsiTheme="majorHAnsi" w:cs="Arial"/>
          <w:lang w:val="en-GB"/>
        </w:rPr>
        <w:t xml:space="preserve"> </w:t>
      </w:r>
      <w:proofErr w:type="spellStart"/>
      <w:r w:rsidRPr="00974900">
        <w:rPr>
          <w:rStyle w:val="Hiperpovezava"/>
          <w:rFonts w:asciiTheme="majorHAnsi" w:hAnsiTheme="majorHAnsi" w:cs="Arial"/>
          <w:color w:val="0000FF"/>
          <w:lang w:val="en-GB"/>
        </w:rPr>
        <w:t>Evropskega</w:t>
      </w:r>
      <w:proofErr w:type="spellEnd"/>
      <w:r w:rsidRPr="00974900">
        <w:rPr>
          <w:rStyle w:val="Hiperpovezava"/>
          <w:rFonts w:asciiTheme="majorHAnsi" w:hAnsiTheme="majorHAnsi" w:cs="Arial"/>
          <w:color w:val="0000FF"/>
          <w:lang w:val="en-GB"/>
        </w:rPr>
        <w:t xml:space="preserve"> </w:t>
      </w:r>
      <w:proofErr w:type="spellStart"/>
      <w:r w:rsidRPr="00974900">
        <w:rPr>
          <w:rStyle w:val="Hiperpovezava"/>
          <w:rFonts w:asciiTheme="majorHAnsi" w:hAnsiTheme="majorHAnsi" w:cs="Arial"/>
          <w:color w:val="0000FF"/>
          <w:lang w:val="en-GB"/>
        </w:rPr>
        <w:t>kmetijskega</w:t>
      </w:r>
      <w:proofErr w:type="spellEnd"/>
      <w:r w:rsidRPr="00974900">
        <w:rPr>
          <w:rStyle w:val="Hiperpovezava"/>
          <w:rFonts w:asciiTheme="majorHAnsi" w:hAnsiTheme="majorHAnsi" w:cs="Arial"/>
          <w:color w:val="0000FF"/>
          <w:lang w:val="en-GB"/>
        </w:rPr>
        <w:t xml:space="preserve"> </w:t>
      </w:r>
      <w:proofErr w:type="spellStart"/>
      <w:r w:rsidRPr="00974900">
        <w:rPr>
          <w:rStyle w:val="Hiperpovezava"/>
          <w:rFonts w:asciiTheme="majorHAnsi" w:hAnsiTheme="majorHAnsi" w:cs="Arial"/>
          <w:color w:val="0000FF"/>
          <w:lang w:val="en-GB"/>
        </w:rPr>
        <w:t>sklada</w:t>
      </w:r>
      <w:proofErr w:type="spellEnd"/>
      <w:r w:rsidRPr="00974900">
        <w:rPr>
          <w:rStyle w:val="Hiperpovezava"/>
          <w:rFonts w:asciiTheme="majorHAnsi" w:hAnsiTheme="majorHAnsi" w:cs="Arial"/>
          <w:color w:val="0000FF"/>
          <w:lang w:val="en-GB"/>
        </w:rPr>
        <w:t xml:space="preserve"> </w:t>
      </w:r>
      <w:proofErr w:type="spellStart"/>
      <w:r w:rsidRPr="00974900">
        <w:rPr>
          <w:rStyle w:val="Hiperpovezava"/>
          <w:rFonts w:asciiTheme="majorHAnsi" w:hAnsiTheme="majorHAnsi" w:cs="Arial"/>
          <w:color w:val="0000FF"/>
          <w:lang w:val="en-GB"/>
        </w:rPr>
        <w:t>za</w:t>
      </w:r>
      <w:proofErr w:type="spellEnd"/>
      <w:r w:rsidRPr="00974900">
        <w:rPr>
          <w:rStyle w:val="Hiperpovezava"/>
          <w:rFonts w:asciiTheme="majorHAnsi" w:hAnsiTheme="majorHAnsi" w:cs="Arial"/>
          <w:color w:val="0000FF"/>
          <w:lang w:val="en-GB"/>
        </w:rPr>
        <w:t xml:space="preserve"> </w:t>
      </w:r>
      <w:proofErr w:type="spellStart"/>
      <w:r w:rsidRPr="00974900">
        <w:rPr>
          <w:rStyle w:val="Hiperpovezava"/>
          <w:rFonts w:asciiTheme="majorHAnsi" w:hAnsiTheme="majorHAnsi" w:cs="Arial"/>
          <w:color w:val="0000FF"/>
          <w:lang w:val="en-GB"/>
        </w:rPr>
        <w:t>razvoj</w:t>
      </w:r>
      <w:proofErr w:type="spellEnd"/>
      <w:r w:rsidRPr="00974900">
        <w:rPr>
          <w:rStyle w:val="Hiperpovezava"/>
          <w:rFonts w:asciiTheme="majorHAnsi" w:hAnsiTheme="majorHAnsi" w:cs="Arial"/>
          <w:color w:val="0000FF"/>
          <w:lang w:val="en-GB"/>
        </w:rPr>
        <w:t xml:space="preserve"> </w:t>
      </w:r>
      <w:proofErr w:type="spellStart"/>
      <w:r w:rsidRPr="00974900">
        <w:rPr>
          <w:rStyle w:val="Hiperpovezava"/>
          <w:rFonts w:asciiTheme="majorHAnsi" w:hAnsiTheme="majorHAnsi" w:cs="Arial"/>
          <w:color w:val="0000FF"/>
          <w:lang w:val="en-GB"/>
        </w:rPr>
        <w:t>podeželja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fldChar w:fldCharType="end"/>
      </w:r>
      <w:r w:rsidRPr="00974900">
        <w:rPr>
          <w:rFonts w:asciiTheme="majorHAnsi" w:hAnsiTheme="majorHAnsi" w:cs="Arial"/>
          <w:color w:val="353837"/>
          <w:lang w:val="en-GB"/>
        </w:rPr>
        <w:t xml:space="preserve"> in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Republika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Slovenija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v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okviru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Programa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razvoja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podeželja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2014 – 2020. Organ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upravljanja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za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izvajanje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Programa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razvoja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podeželja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RS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za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obdobje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2014-20, je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Ministrstvo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za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kmetijstvo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in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prehrano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.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Za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vsebino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aktivnosti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je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odgovorna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Ljudska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</w:t>
      </w:r>
      <w:proofErr w:type="spellStart"/>
      <w:r w:rsidRPr="00974900">
        <w:rPr>
          <w:rFonts w:asciiTheme="majorHAnsi" w:hAnsiTheme="majorHAnsi" w:cs="Arial"/>
          <w:color w:val="353837"/>
          <w:lang w:val="en-GB"/>
        </w:rPr>
        <w:t>univerza</w:t>
      </w:r>
      <w:proofErr w:type="spellEnd"/>
      <w:r w:rsidRPr="00974900">
        <w:rPr>
          <w:rFonts w:asciiTheme="majorHAnsi" w:hAnsiTheme="majorHAnsi" w:cs="Arial"/>
          <w:color w:val="353837"/>
          <w:lang w:val="en-GB"/>
        </w:rPr>
        <w:t xml:space="preserve"> Škofja Loka.</w:t>
      </w:r>
    </w:p>
    <w:p w:rsidR="005065F7" w:rsidRPr="00974900" w:rsidRDefault="005065F7" w:rsidP="005065F7">
      <w:pPr>
        <w:pStyle w:val="Navadensplet"/>
        <w:rPr>
          <w:rFonts w:asciiTheme="majorHAnsi" w:hAnsiTheme="majorHAnsi" w:cs="Arial"/>
          <w:color w:val="353837"/>
          <w:lang w:val="en-GB"/>
        </w:rPr>
      </w:pPr>
      <w:r w:rsidRPr="00974900">
        <w:rPr>
          <w:rFonts w:asciiTheme="majorHAnsi" w:hAnsiTheme="majorHAnsi" w:cs="Arial"/>
          <w:noProof/>
          <w:color w:val="353837"/>
        </w:rPr>
        <w:drawing>
          <wp:inline distT="0" distB="0" distL="0" distR="0" wp14:anchorId="581757A2" wp14:editId="54E4D5C6">
            <wp:extent cx="4943475" cy="857250"/>
            <wp:effectExtent l="0" t="0" r="9525" b="0"/>
            <wp:docPr id="1" name="Slika 1" descr="https://www.lu-skofjaloka.si/wp-content/uploads/2018/03/vr2logo.thumb-519x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u-skofjaloka.si/wp-content/uploads/2018/03/vr2logo.thumb-519x9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CB7" w:rsidRPr="00974900" w:rsidRDefault="00A54CB7">
      <w:pPr>
        <w:rPr>
          <w:rFonts w:asciiTheme="majorHAnsi" w:hAnsiTheme="majorHAnsi"/>
          <w:sz w:val="24"/>
          <w:szCs w:val="24"/>
        </w:rPr>
      </w:pPr>
    </w:p>
    <w:sectPr w:rsidR="00A54CB7" w:rsidRPr="00974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ubik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5F7"/>
    <w:rsid w:val="002B2D76"/>
    <w:rsid w:val="004033D3"/>
    <w:rsid w:val="005065F7"/>
    <w:rsid w:val="00974900"/>
    <w:rsid w:val="00A53728"/>
    <w:rsid w:val="00A5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F88C5-233E-4239-80D4-65E8A0DC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065F7"/>
    <w:rPr>
      <w:strike w:val="0"/>
      <w:dstrike w:val="0"/>
      <w:color w:val="353837"/>
      <w:u w:val="none"/>
      <w:effect w:val="none"/>
      <w:shd w:val="clear" w:color="auto" w:fill="auto"/>
    </w:rPr>
  </w:style>
  <w:style w:type="character" w:styleId="Krepko">
    <w:name w:val="Strong"/>
    <w:basedOn w:val="Privzetapisavaodstavka"/>
    <w:uiPriority w:val="22"/>
    <w:qFormat/>
    <w:rsid w:val="005065F7"/>
    <w:rPr>
      <w:b w:val="0"/>
      <w:bCs w:val="0"/>
    </w:rPr>
  </w:style>
  <w:style w:type="paragraph" w:styleId="Navadensplet">
    <w:name w:val="Normal (Web)"/>
    <w:basedOn w:val="Navaden"/>
    <w:uiPriority w:val="99"/>
    <w:semiHidden/>
    <w:unhideWhenUsed/>
    <w:rsid w:val="005065F7"/>
    <w:pPr>
      <w:spacing w:before="210" w:after="21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1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48800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9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Kopac</dc:creator>
  <cp:keywords/>
  <dc:description/>
  <cp:lastModifiedBy>Jana Oblak</cp:lastModifiedBy>
  <cp:revision>2</cp:revision>
  <cp:lastPrinted>2018-05-22T06:26:00Z</cp:lastPrinted>
  <dcterms:created xsi:type="dcterms:W3CDTF">2018-05-24T10:21:00Z</dcterms:created>
  <dcterms:modified xsi:type="dcterms:W3CDTF">2018-05-24T10:21:00Z</dcterms:modified>
</cp:coreProperties>
</file>